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28376">
      <w:pPr>
        <w:widowControl/>
        <w:spacing w:line="52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3BB9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center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Times New Roman"/>
          <w:b/>
          <w:bCs w:val="0"/>
          <w:color w:val="000000"/>
          <w:sz w:val="32"/>
          <w:szCs w:val="32"/>
          <w:lang w:val="en-US" w:eastAsia="zh-CN"/>
        </w:rPr>
        <w:t>2024年下半年招生就业处编制外就业管理岗位招聘计划</w:t>
      </w:r>
    </w:p>
    <w:bookmarkEnd w:id="0"/>
    <w:tbl>
      <w:tblPr>
        <w:tblStyle w:val="2"/>
        <w:tblW w:w="13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80"/>
        <w:gridCol w:w="1356"/>
        <w:gridCol w:w="576"/>
        <w:gridCol w:w="1380"/>
        <w:gridCol w:w="1892"/>
        <w:gridCol w:w="1717"/>
        <w:gridCol w:w="5787"/>
      </w:tblGrid>
      <w:tr w14:paraId="7979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09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A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用人部门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F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B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0C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上限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D1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/学科方向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E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6B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条件</w:t>
            </w:r>
          </w:p>
        </w:tc>
      </w:tr>
      <w:tr w14:paraId="3B93F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FB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1F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招生就业处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6B8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就业管理干事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EF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B4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809B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法学、教育学、文学、历史学、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艺术学和计算机科学与技术类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相关专业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5FF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B75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9D92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1.具有较强的文字写作能力，熟练使用办公软件；</w:t>
            </w:r>
          </w:p>
          <w:p w14:paraId="07FF67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2.具备较强组织协调能力和服务意识；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56F8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3.能胜任高校学生就业等相关工作。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A32AA60"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上限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35周岁，1989年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日（含）之后出生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34CEDC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0D464F47"/>
    <w:rsid w:val="0D4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2024-11-01T07:24:00Z</dcterms:created>
  <dc:creator>oneone</dc:creator>
  <cp:lastModifiedBy>oneone</cp:lastModifiedBy>
  <dcterms:modified xsi:type="dcterms:W3CDTF">2024-11-01T07:24:30Z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39D714A0985E4AB1B706177F8FDC3328_11</vt:lpwstr>
  </property>
</Properties>
</file>